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F" w:rsidRDefault="003F24FF" w:rsidP="00255FE8">
      <w:pPr>
        <w:ind w:left="5664"/>
        <w:jc w:val="both"/>
        <w:rPr>
          <w:lang w:val="uk-UA"/>
        </w:rPr>
      </w:pPr>
      <w:r>
        <w:rPr>
          <w:lang w:val="uk-UA"/>
        </w:rPr>
        <w:t>ЗАТВЕРДЖЕНО</w:t>
      </w:r>
    </w:p>
    <w:p w:rsidR="003F24FF" w:rsidRDefault="003F24FF" w:rsidP="00255FE8">
      <w:pPr>
        <w:ind w:left="5664"/>
        <w:jc w:val="both"/>
        <w:rPr>
          <w:lang w:val="uk-UA"/>
        </w:rPr>
      </w:pPr>
      <w:r>
        <w:rPr>
          <w:lang w:val="uk-UA"/>
        </w:rPr>
        <w:t>Наказ територіального управління</w:t>
      </w:r>
    </w:p>
    <w:p w:rsidR="003F24FF" w:rsidRDefault="003F24FF" w:rsidP="00255FE8">
      <w:pPr>
        <w:ind w:left="5664"/>
        <w:jc w:val="both"/>
        <w:rPr>
          <w:lang w:val="uk-UA"/>
        </w:rPr>
      </w:pPr>
      <w:r>
        <w:rPr>
          <w:lang w:val="uk-UA"/>
        </w:rPr>
        <w:t>Державної   судової   адміністрації</w:t>
      </w:r>
    </w:p>
    <w:p w:rsidR="003F24FF" w:rsidRDefault="003F24FF" w:rsidP="00255FE8">
      <w:pPr>
        <w:ind w:left="5664"/>
        <w:jc w:val="both"/>
        <w:rPr>
          <w:lang w:val="uk-UA"/>
        </w:rPr>
      </w:pPr>
      <w:r>
        <w:rPr>
          <w:lang w:val="uk-UA"/>
        </w:rPr>
        <w:t>України     в     Луганській   області</w:t>
      </w:r>
    </w:p>
    <w:p w:rsidR="003F24FF" w:rsidRPr="00255FE8" w:rsidRDefault="003F24FF" w:rsidP="00255FE8">
      <w:pPr>
        <w:ind w:left="5664"/>
        <w:jc w:val="both"/>
        <w:rPr>
          <w:lang w:val="uk-UA"/>
        </w:rPr>
      </w:pPr>
      <w:r>
        <w:rPr>
          <w:lang w:val="uk-UA"/>
        </w:rPr>
        <w:t>20 червня 2017 року № 27/к</w:t>
      </w:r>
    </w:p>
    <w:p w:rsidR="003F24FF" w:rsidRDefault="003F24FF" w:rsidP="00255FE8">
      <w:pPr>
        <w:jc w:val="both"/>
        <w:rPr>
          <w:b/>
          <w:lang w:val="uk-UA"/>
        </w:rPr>
      </w:pPr>
    </w:p>
    <w:p w:rsidR="003F24FF" w:rsidRDefault="003F24FF" w:rsidP="0007793B">
      <w:pPr>
        <w:jc w:val="center"/>
      </w:pPr>
      <w:r>
        <w:rPr>
          <w:b/>
          <w:lang w:val="uk-UA"/>
        </w:rPr>
        <w:t>УМОВИ</w:t>
      </w:r>
    </w:p>
    <w:p w:rsidR="003F24FF" w:rsidRDefault="003F24FF" w:rsidP="0007793B">
      <w:pPr>
        <w:jc w:val="center"/>
        <w:rPr>
          <w:b/>
          <w:lang w:val="uk-UA"/>
        </w:rPr>
      </w:pPr>
      <w:r>
        <w:rPr>
          <w:b/>
          <w:lang w:val="uk-UA"/>
        </w:rPr>
        <w:t>проведення конкурсу</w:t>
      </w:r>
    </w:p>
    <w:p w:rsidR="003F24FF" w:rsidRDefault="003F24FF" w:rsidP="0007793B">
      <w:pPr>
        <w:jc w:val="center"/>
        <w:rPr>
          <w:b/>
          <w:lang w:val="uk-UA"/>
        </w:rPr>
      </w:pPr>
      <w:r>
        <w:rPr>
          <w:b/>
          <w:lang w:val="uk-UA"/>
        </w:rPr>
        <w:t>на зайняття вакантної посади державної служби категорії «Б» -</w:t>
      </w:r>
    </w:p>
    <w:p w:rsidR="003F24FF" w:rsidRDefault="003F24FF" w:rsidP="0077429F">
      <w:pPr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керівника апарату Троїцького районного суду Луганської області</w:t>
      </w:r>
    </w:p>
    <w:p w:rsidR="003F24FF" w:rsidRDefault="003F24FF" w:rsidP="0007793B">
      <w:pPr>
        <w:ind w:firstLine="567"/>
        <w:rPr>
          <w:rFonts w:ascii="Antiqua" w:hAnsi="Antiqua"/>
          <w:sz w:val="26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3F24FF" w:rsidTr="0007793B">
        <w:tc>
          <w:tcPr>
            <w:tcW w:w="9648" w:type="dxa"/>
            <w:gridSpan w:val="2"/>
            <w:vAlign w:val="center"/>
          </w:tcPr>
          <w:p w:rsidR="003F24FF" w:rsidRPr="00E45C3C" w:rsidRDefault="003F24FF">
            <w:pPr>
              <w:pStyle w:val="a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3F24FF" w:rsidTr="0007793B">
        <w:tc>
          <w:tcPr>
            <w:tcW w:w="2943" w:type="dxa"/>
          </w:tcPr>
          <w:p w:rsidR="003F24FF" w:rsidRDefault="003F24FF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забезпечує підготовку планів роботи суду, які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організовує та контролює роботу з фінансового та кадрового обслуговування апарату суду;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затверджує профілі професійної компетентності посад державної служби та вимоги до освітньо-професійного рівня, напряму підготовки (спеціальності), досвіду роботи та інші вимоги;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об'єктивність; призначає осіб на посади державної служби та звільняє їх з посад; </w:t>
            </w:r>
          </w:p>
          <w:p w:rsidR="003F24FF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присвоює ранги державним службовцям, які зай</w:t>
            </w:r>
            <w:r>
              <w:rPr>
                <w:lang w:val="uk-UA"/>
              </w:rPr>
              <w:t xml:space="preserve">мають посади державної служби;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E45C3C">
              <w:rPr>
                <w:lang w:val="uk-UA"/>
              </w:rPr>
              <w:t xml:space="preserve"> виконує функції роботодавця для працівників апарату суду, які не є державними службовцями;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обслуговування), а також щодо помічників 5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3F24FF" w:rsidRPr="00E45C3C" w:rsidRDefault="003F24FF" w:rsidP="00AC5F9F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   </w:t>
            </w:r>
            <w:r w:rsidRPr="00E45C3C">
              <w:t>несе персональну відповідальність за належне організаційне забезпечення діяльності суду, суддів та судового процесу, функціонування автоматизованої системи документообігу суду.</w:t>
            </w:r>
          </w:p>
        </w:tc>
      </w:tr>
      <w:tr w:rsidR="003F24FF" w:rsidTr="0007793B">
        <w:tc>
          <w:tcPr>
            <w:tcW w:w="2943" w:type="dxa"/>
          </w:tcPr>
          <w:p w:rsidR="003F24FF" w:rsidRPr="00E45C3C" w:rsidRDefault="003F24FF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 xml:space="preserve"> Умови оплати праці       </w:t>
            </w:r>
          </w:p>
        </w:tc>
        <w:tc>
          <w:tcPr>
            <w:tcW w:w="6705" w:type="dxa"/>
          </w:tcPr>
          <w:p w:rsidR="003F24FF" w:rsidRPr="00E45C3C" w:rsidRDefault="003F24FF" w:rsidP="00BD73BD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посадовий оклад - 7600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>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3F24FF" w:rsidTr="0007793B">
        <w:tc>
          <w:tcPr>
            <w:tcW w:w="2943" w:type="dxa"/>
          </w:tcPr>
          <w:p w:rsidR="003F24FF" w:rsidRPr="00E45C3C" w:rsidRDefault="003F24FF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3F24FF" w:rsidRPr="00E45C3C" w:rsidRDefault="003F24FF" w:rsidP="000849D1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113C">
              <w:rPr>
                <w:rFonts w:ascii="Times New Roman" w:hAnsi="Times New Roman"/>
                <w:sz w:val="24"/>
                <w:szCs w:val="24"/>
              </w:rPr>
              <w:t>езстроково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24FF" w:rsidTr="0007793B">
        <w:tc>
          <w:tcPr>
            <w:tcW w:w="2943" w:type="dxa"/>
          </w:tcPr>
          <w:p w:rsidR="003F24FF" w:rsidRPr="00E45C3C" w:rsidRDefault="003F24FF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3F24FF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3F24FF" w:rsidRPr="00E45C3C" w:rsidRDefault="003F24FF" w:rsidP="003B1A13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5). посвідчення атестації щодо вільного володіння державною мовою;</w:t>
            </w:r>
          </w:p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 календарний день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3F24FF" w:rsidTr="0007793B">
        <w:tc>
          <w:tcPr>
            <w:tcW w:w="2943" w:type="dxa"/>
          </w:tcPr>
          <w:p w:rsidR="003F24FF" w:rsidRPr="00E45C3C" w:rsidRDefault="003F24FF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Дата, час і місце проведення конкурсу</w:t>
            </w:r>
          </w:p>
        </w:tc>
        <w:tc>
          <w:tcPr>
            <w:tcW w:w="6705" w:type="dxa"/>
          </w:tcPr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липня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року, о 10.00 годині,</w:t>
            </w:r>
          </w:p>
          <w:p w:rsidR="003F24FF" w:rsidRPr="00E45C3C" w:rsidRDefault="003F24FF" w:rsidP="00EA0CFE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93010, Луганська область, місто Рубіжне, вулиця Миру, будинок 34, кабінет 21.</w:t>
            </w:r>
            <w:r w:rsidRPr="00E45C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F24FF" w:rsidTr="0007793B">
        <w:tc>
          <w:tcPr>
            <w:tcW w:w="2943" w:type="dxa"/>
          </w:tcPr>
          <w:p w:rsidR="003F24FF" w:rsidRPr="00E45C3C" w:rsidRDefault="003F24FF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3F24FF" w:rsidRPr="00E45C3C" w:rsidRDefault="003F24FF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Панасенко Ігор Валерійович,</w:t>
            </w:r>
          </w:p>
          <w:p w:rsidR="003F24FF" w:rsidRPr="00E45C3C" w:rsidRDefault="003F24FF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3F24FF" w:rsidRPr="00E45C3C" w:rsidRDefault="003F24FF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5" w:history="1">
              <w:r w:rsidRPr="00E45C3C">
                <w:rPr>
                  <w:rStyle w:val="Hyperlink"/>
                  <w:color w:val="000000"/>
                  <w:lang w:val="en-US"/>
                </w:rPr>
                <w:t>inbox</w:t>
              </w:r>
              <w:r w:rsidRPr="00E45C3C">
                <w:rPr>
                  <w:rStyle w:val="Hyperlink"/>
                  <w:color w:val="000000"/>
                  <w:lang w:val="uk-UA"/>
                </w:rPr>
                <w:t>@</w:t>
              </w:r>
              <w:r w:rsidRPr="00E45C3C">
                <w:rPr>
                  <w:rStyle w:val="Hyperlink"/>
                  <w:color w:val="000000"/>
                  <w:lang w:val="en-US"/>
                </w:rPr>
                <w:t>lg</w:t>
              </w:r>
              <w:r w:rsidRPr="00E45C3C">
                <w:rPr>
                  <w:rStyle w:val="Hyperlink"/>
                  <w:color w:val="000000"/>
                  <w:lang w:val="uk-UA"/>
                </w:rPr>
                <w:t>.</w:t>
              </w:r>
              <w:r w:rsidRPr="00E45C3C">
                <w:rPr>
                  <w:rStyle w:val="Hyperlink"/>
                  <w:color w:val="000000"/>
                  <w:lang w:val="en-US"/>
                </w:rPr>
                <w:t>court</w:t>
              </w:r>
              <w:r w:rsidRPr="00E45C3C">
                <w:rPr>
                  <w:rStyle w:val="Hyperlink"/>
                  <w:color w:val="000000"/>
                  <w:lang w:val="uk-UA"/>
                </w:rPr>
                <w:t>.</w:t>
              </w:r>
              <w:r w:rsidRPr="00E45C3C">
                <w:rPr>
                  <w:rStyle w:val="Hyperlink"/>
                  <w:color w:val="000000"/>
                  <w:lang w:val="en-US"/>
                </w:rPr>
                <w:t>gov</w:t>
              </w:r>
              <w:r w:rsidRPr="00E45C3C">
                <w:rPr>
                  <w:rStyle w:val="Hyperlink"/>
                  <w:color w:val="000000"/>
                  <w:lang w:val="uk-UA"/>
                </w:rPr>
                <w:t>.</w:t>
              </w:r>
              <w:r w:rsidRPr="00E45C3C">
                <w:rPr>
                  <w:rStyle w:val="Hyperlink"/>
                  <w:color w:val="000000"/>
                  <w:lang w:val="en-US"/>
                </w:rPr>
                <w:t>ua</w:t>
              </w:r>
            </w:hyperlink>
          </w:p>
          <w:p w:rsidR="003F24FF" w:rsidRPr="00E45C3C" w:rsidRDefault="003F24FF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4FF" w:rsidRPr="002B4304" w:rsidRDefault="003F24FF" w:rsidP="00EA0CFE">
      <w:pPr>
        <w:rPr>
          <w:b/>
          <w:color w:val="000000"/>
          <w:sz w:val="28"/>
          <w:szCs w:val="28"/>
          <w:lang w:val="uk-UA"/>
        </w:rPr>
      </w:pPr>
    </w:p>
    <w:p w:rsidR="003F24FF" w:rsidRPr="00E156E1" w:rsidRDefault="003F24FF" w:rsidP="00EA0CFE">
      <w:pPr>
        <w:jc w:val="center"/>
        <w:rPr>
          <w:b/>
          <w:color w:val="000000"/>
          <w:lang w:val="uk-UA"/>
        </w:rPr>
      </w:pPr>
      <w:r w:rsidRPr="00E156E1">
        <w:rPr>
          <w:b/>
          <w:color w:val="000000"/>
          <w:lang w:val="uk-UA"/>
        </w:rPr>
        <w:t>ВИМОГИ</w:t>
      </w:r>
    </w:p>
    <w:p w:rsidR="003F24FF" w:rsidRPr="00E156E1" w:rsidRDefault="003F24FF" w:rsidP="00EA0CFE">
      <w:pPr>
        <w:jc w:val="center"/>
        <w:rPr>
          <w:b/>
          <w:bCs/>
          <w:lang w:val="uk-UA"/>
        </w:rPr>
      </w:pPr>
      <w:r w:rsidRPr="00E156E1">
        <w:rPr>
          <w:b/>
          <w:color w:val="000000"/>
          <w:lang w:val="uk-UA"/>
        </w:rPr>
        <w:t xml:space="preserve">до осіб, які претендують на зайняття посади керівника апарату </w:t>
      </w:r>
      <w:r w:rsidRPr="00E156E1">
        <w:rPr>
          <w:b/>
          <w:bCs/>
          <w:lang w:val="uk-UA"/>
        </w:rPr>
        <w:t xml:space="preserve">місцевого </w:t>
      </w:r>
      <w:r>
        <w:rPr>
          <w:b/>
          <w:bCs/>
          <w:lang w:val="uk-UA"/>
        </w:rPr>
        <w:t>загального</w:t>
      </w:r>
      <w:r w:rsidRPr="00E156E1">
        <w:rPr>
          <w:b/>
          <w:bCs/>
          <w:lang w:val="uk-UA"/>
        </w:rPr>
        <w:t xml:space="preserve"> суду Луганської області</w:t>
      </w:r>
    </w:p>
    <w:p w:rsidR="003F24FF" w:rsidRDefault="003F24FF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3F24FF" w:rsidRPr="00E45C3C" w:rsidTr="00AD41AA">
        <w:trPr>
          <w:cantSplit/>
        </w:trPr>
        <w:tc>
          <w:tcPr>
            <w:tcW w:w="675" w:type="dxa"/>
          </w:tcPr>
          <w:p w:rsidR="003F24FF" w:rsidRPr="00E45C3C" w:rsidRDefault="003F24FF" w:rsidP="00AD41AA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І</w:t>
            </w:r>
          </w:p>
        </w:tc>
        <w:tc>
          <w:tcPr>
            <w:tcW w:w="9214" w:type="dxa"/>
            <w:gridSpan w:val="2"/>
          </w:tcPr>
          <w:p w:rsidR="003F24FF" w:rsidRPr="00E45C3C" w:rsidRDefault="003F24FF" w:rsidP="00AD41AA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ЗАГАЛЬНІ ВИМОГИ</w:t>
            </w:r>
          </w:p>
        </w:tc>
      </w:tr>
      <w:tr w:rsidR="003F24FF" w:rsidRPr="00E45C3C" w:rsidTr="00AD41AA">
        <w:trPr>
          <w:cantSplit/>
        </w:trPr>
        <w:tc>
          <w:tcPr>
            <w:tcW w:w="675" w:type="dxa"/>
            <w:vMerge w:val="restart"/>
          </w:tcPr>
          <w:p w:rsidR="003F24FF" w:rsidRPr="00E45C3C" w:rsidRDefault="003F24FF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3F24FF" w:rsidRPr="00E45C3C" w:rsidRDefault="003F24FF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 xml:space="preserve">вища. </w:t>
            </w:r>
          </w:p>
        </w:tc>
      </w:tr>
      <w:tr w:rsidR="003F24FF" w:rsidRPr="00E45C3C" w:rsidTr="00AD41AA">
        <w:trPr>
          <w:cantSplit/>
        </w:trPr>
        <w:tc>
          <w:tcPr>
            <w:tcW w:w="675" w:type="dxa"/>
            <w:vMerge/>
          </w:tcPr>
          <w:p w:rsidR="003F24FF" w:rsidRPr="00E45C3C" w:rsidRDefault="003F24FF" w:rsidP="00E156E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3F24FF" w:rsidRPr="00E45C3C" w:rsidRDefault="003F24FF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Ступінь вищої освіти</w:t>
            </w:r>
          </w:p>
        </w:tc>
        <w:tc>
          <w:tcPr>
            <w:tcW w:w="6520" w:type="dxa"/>
          </w:tcPr>
          <w:p w:rsidR="003F24FF" w:rsidRPr="00E45C3C" w:rsidRDefault="003F24FF" w:rsidP="00970A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 нижче </w:t>
            </w:r>
            <w:r w:rsidRPr="00E45C3C">
              <w:rPr>
                <w:color w:val="000000"/>
                <w:lang w:val="uk-UA"/>
              </w:rPr>
              <w:t>магістр</w:t>
            </w:r>
            <w:r>
              <w:rPr>
                <w:color w:val="000000"/>
                <w:lang w:val="uk-UA"/>
              </w:rPr>
              <w:t>а</w:t>
            </w:r>
            <w:r w:rsidRPr="00E45C3C">
              <w:rPr>
                <w:color w:val="000000"/>
                <w:lang w:val="uk-UA"/>
              </w:rPr>
              <w:t xml:space="preserve">. </w:t>
            </w:r>
          </w:p>
        </w:tc>
      </w:tr>
      <w:tr w:rsidR="003F24FF" w:rsidRPr="00E45C3C" w:rsidTr="00AD41AA">
        <w:trPr>
          <w:cantSplit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rPr>
                <w:caps/>
                <w:lang w:val="uk-UA"/>
              </w:rPr>
            </w:pPr>
            <w:r w:rsidRPr="00E45C3C">
              <w:rPr>
                <w:lang w:val="uk-UA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6520" w:type="dxa"/>
          </w:tcPr>
          <w:p w:rsidR="003F24FF" w:rsidRPr="00E45C3C" w:rsidRDefault="003F24FF" w:rsidP="00E156E1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досвід роботи на посадах державної служби категорії «Б» чи «В» </w:t>
            </w:r>
            <w:r>
              <w:rPr>
                <w:lang w:val="uk-UA"/>
              </w:rPr>
              <w:t xml:space="preserve"> </w:t>
            </w:r>
            <w:r w:rsidRPr="00E45C3C">
              <w:rPr>
                <w:lang w:val="uk-UA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3F24FF" w:rsidRPr="00E45C3C" w:rsidTr="00AD41AA">
        <w:trPr>
          <w:cantSplit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Володіння мовами</w:t>
            </w:r>
          </w:p>
        </w:tc>
        <w:tc>
          <w:tcPr>
            <w:tcW w:w="6520" w:type="dxa"/>
          </w:tcPr>
          <w:p w:rsidR="003F24FF" w:rsidRPr="00E45C3C" w:rsidRDefault="003F24FF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3F24FF" w:rsidRPr="00E45C3C" w:rsidTr="00AD41AA">
        <w:trPr>
          <w:cantSplit/>
          <w:trHeight w:val="483"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ІІ</w:t>
            </w:r>
          </w:p>
        </w:tc>
        <w:tc>
          <w:tcPr>
            <w:tcW w:w="9214" w:type="dxa"/>
            <w:gridSpan w:val="2"/>
          </w:tcPr>
          <w:p w:rsidR="003F24FF" w:rsidRPr="00E45C3C" w:rsidRDefault="003F24FF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СПЕЦІАЛЬНІ ВИМОГИ</w:t>
            </w:r>
          </w:p>
        </w:tc>
      </w:tr>
      <w:tr w:rsidR="003F24FF" w:rsidRPr="00E45C3C" w:rsidTr="00AD41AA">
        <w:trPr>
          <w:cantSplit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lang w:val="uk-UA"/>
              </w:rPr>
              <w:br w:type="page"/>
            </w:r>
            <w:r w:rsidRPr="00E45C3C">
              <w:br w:type="page"/>
            </w:r>
            <w:r w:rsidRPr="00E45C3C">
              <w:rPr>
                <w:caps/>
                <w:lang w:val="uk-UA"/>
              </w:rPr>
              <w:t>1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rPr>
                <w:lang w:val="uk-UA"/>
              </w:rPr>
            </w:pPr>
            <w:r w:rsidRPr="00E45C3C">
              <w:rPr>
                <w:lang w:val="en-US"/>
              </w:rPr>
              <w:t>Освіта</w:t>
            </w:r>
          </w:p>
        </w:tc>
        <w:tc>
          <w:tcPr>
            <w:tcW w:w="6520" w:type="dxa"/>
          </w:tcPr>
          <w:p w:rsidR="003F24FF" w:rsidRPr="00E45C3C" w:rsidRDefault="003F24FF" w:rsidP="00970A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юридична, </w:t>
            </w:r>
            <w:r w:rsidRPr="00E45C3C">
              <w:rPr>
                <w:color w:val="000000"/>
                <w:lang w:val="uk-UA"/>
              </w:rPr>
              <w:t xml:space="preserve">економічна </w:t>
            </w:r>
            <w:r>
              <w:rPr>
                <w:color w:val="000000"/>
                <w:lang w:val="uk-UA"/>
              </w:rPr>
              <w:t>або</w:t>
            </w:r>
            <w:r w:rsidRPr="00E45C3C">
              <w:rPr>
                <w:color w:val="000000"/>
                <w:lang w:val="uk-UA"/>
              </w:rPr>
              <w:t xml:space="preserve"> у галузі державного управління.</w:t>
            </w:r>
          </w:p>
        </w:tc>
      </w:tr>
      <w:tr w:rsidR="003F24FF" w:rsidRPr="00D00E3F" w:rsidTr="00AD41AA">
        <w:trPr>
          <w:cantSplit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 xml:space="preserve">Знання законодавства </w:t>
            </w:r>
          </w:p>
        </w:tc>
        <w:tc>
          <w:tcPr>
            <w:tcW w:w="6520" w:type="dxa"/>
          </w:tcPr>
          <w:p w:rsidR="003F24FF" w:rsidRPr="00E45C3C" w:rsidRDefault="003F24FF" w:rsidP="00673444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Конституція України;</w:t>
            </w:r>
          </w:p>
          <w:p w:rsidR="003F24FF" w:rsidRPr="00E45C3C" w:rsidRDefault="003F24FF" w:rsidP="00673444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Закон</w:t>
            </w:r>
            <w:r>
              <w:rPr>
                <w:color w:val="000000"/>
                <w:lang w:val="uk-UA"/>
              </w:rPr>
              <w:t>и</w:t>
            </w:r>
            <w:r w:rsidRPr="00E45C3C">
              <w:rPr>
                <w:color w:val="000000"/>
                <w:lang w:val="uk-UA"/>
              </w:rPr>
              <w:t xml:space="preserve">України </w:t>
            </w:r>
            <w:r w:rsidRPr="00673444">
              <w:rPr>
                <w:lang w:val="uk-UA"/>
              </w:rPr>
              <w:t>«</w:t>
            </w:r>
            <w:r w:rsidRPr="00E45C3C">
              <w:rPr>
                <w:color w:val="000000"/>
                <w:lang w:val="uk-UA"/>
              </w:rPr>
              <w:t>Про державну службу</w:t>
            </w:r>
            <w:r w:rsidRPr="00E45C3C">
              <w:rPr>
                <w:lang w:val="uk-UA"/>
              </w:rPr>
              <w:t xml:space="preserve">, </w:t>
            </w:r>
            <w:r w:rsidRPr="00673444">
              <w:rPr>
                <w:lang w:val="uk-UA"/>
              </w:rPr>
              <w:t>«</w:t>
            </w:r>
            <w:r w:rsidRPr="00E45C3C">
              <w:rPr>
                <w:color w:val="000000"/>
                <w:lang w:val="uk-UA"/>
              </w:rPr>
              <w:t>Про судоустрій і статус суддів</w:t>
            </w:r>
            <w:r w:rsidRPr="00E45C3C">
              <w:rPr>
                <w:lang w:val="uk-UA"/>
              </w:rPr>
              <w:t>», «Про запобігання корупції», «Про звернення громадян», «Про доступ до публічної інформації», «Про доступ до судових рішень», «Про інформацію», «Про очищення влади», «</w:t>
            </w:r>
            <w:r>
              <w:rPr>
                <w:lang w:val="uk-UA"/>
              </w:rPr>
              <w:t>Про захист персональних даних»</w:t>
            </w:r>
            <w:r w:rsidRPr="00E45C3C">
              <w:rPr>
                <w:lang w:val="uk-UA"/>
              </w:rPr>
              <w:t xml:space="preserve">, «Про бухгалтерський облік та фінансову звітність в Україні»; </w:t>
            </w:r>
          </w:p>
          <w:p w:rsidR="003F24FF" w:rsidRPr="00E45C3C" w:rsidRDefault="003F24FF" w:rsidP="0067344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Кодекс законів про працю України</w:t>
            </w:r>
            <w:r>
              <w:rPr>
                <w:color w:val="000000"/>
                <w:lang w:val="uk-UA"/>
              </w:rPr>
              <w:t>,</w:t>
            </w:r>
            <w:r w:rsidRPr="00E45C3C">
              <w:rPr>
                <w:color w:val="000000"/>
                <w:lang w:val="uk-UA"/>
              </w:rPr>
              <w:t xml:space="preserve"> Цивільний кодекс України, Кримінальний кодекс України, Бюджетний кодекс  України, Господарський кодекс України, Кодекс адміністративного судочинства України, відповідні процесуальні кодекси тощо;</w:t>
            </w:r>
          </w:p>
          <w:p w:rsidR="003F24FF" w:rsidRPr="00E45C3C" w:rsidRDefault="003F24FF" w:rsidP="0067344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постанови Верховної Ради України; </w:t>
            </w:r>
          </w:p>
          <w:p w:rsidR="003F24FF" w:rsidRPr="00E45C3C" w:rsidRDefault="003F24FF" w:rsidP="00673444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акти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</w:t>
            </w:r>
            <w:r w:rsidRPr="00E45C3C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3F24FF" w:rsidRPr="00E45C3C" w:rsidRDefault="003F24FF" w:rsidP="0067344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6</w:t>
            </w:r>
            <w:r w:rsidRPr="00E45C3C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  <w:r w:rsidRPr="00E45C3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рішення Вищої ради правосуддя, </w:t>
            </w:r>
            <w:r w:rsidRPr="00E45C3C">
              <w:rPr>
                <w:lang w:val="uk-UA"/>
              </w:rPr>
              <w:t>рішення Ради суддів України та накази ДСА України з питань організаційного забезпечення діяльності судів.</w:t>
            </w:r>
          </w:p>
        </w:tc>
      </w:tr>
      <w:tr w:rsidR="003F24FF" w:rsidRPr="00D00E3F" w:rsidTr="00AD41AA">
        <w:trPr>
          <w:cantSplit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rPr>
                <w:lang w:val="uk-UA"/>
              </w:rPr>
            </w:pPr>
            <w:r w:rsidRPr="00E45C3C">
              <w:rPr>
                <w:lang w:val="uk-UA"/>
              </w:rPr>
              <w:t>Професійні знання</w:t>
            </w:r>
          </w:p>
        </w:tc>
        <w:tc>
          <w:tcPr>
            <w:tcW w:w="6520" w:type="dxa"/>
          </w:tcPr>
          <w:p w:rsidR="003F24FF" w:rsidRPr="00E45C3C" w:rsidRDefault="003F24FF" w:rsidP="00673444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знання з питань судоустрою та державного управління, управління персоналом та проходження державної служби, планування роботи суду та звітності, діловодства та судової статистики, управління якістю, зв’язків з громадськістю, стратегічного планування.</w:t>
            </w:r>
          </w:p>
        </w:tc>
      </w:tr>
      <w:tr w:rsidR="003F24FF" w:rsidRPr="00043296" w:rsidTr="00AD41AA">
        <w:trPr>
          <w:cantSplit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lang w:val="en-US"/>
              </w:rPr>
            </w:pPr>
            <w:r w:rsidRPr="00E45C3C"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 xml:space="preserve">Лідерство </w:t>
            </w:r>
          </w:p>
        </w:tc>
        <w:tc>
          <w:tcPr>
            <w:tcW w:w="6520" w:type="dxa"/>
          </w:tcPr>
          <w:p w:rsidR="003F24FF" w:rsidRPr="00E45C3C" w:rsidRDefault="003F24FF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3F24FF" w:rsidRPr="00E45C3C" w:rsidRDefault="003F24FF" w:rsidP="00673444">
            <w:pPr>
              <w:pStyle w:val="TableContents"/>
              <w:jc w:val="both"/>
              <w:rPr>
                <w:rFonts w:cs="Times New Roman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</w:tc>
      </w:tr>
      <w:tr w:rsidR="003F24FF" w:rsidRPr="00043296" w:rsidTr="00AD41AA">
        <w:trPr>
          <w:cantSplit/>
        </w:trPr>
        <w:tc>
          <w:tcPr>
            <w:tcW w:w="675" w:type="dxa"/>
          </w:tcPr>
          <w:p w:rsidR="003F24FF" w:rsidRPr="00043296" w:rsidRDefault="003F24FF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E45C3C">
              <w:rPr>
                <w:rFonts w:eastAsia="TimesNewRomanPSMT" w:cs="Times New Roman"/>
                <w:bCs/>
                <w:color w:val="000000"/>
              </w:rPr>
              <w:t>Прийняття ефективних рішень</w:t>
            </w:r>
          </w:p>
        </w:tc>
        <w:tc>
          <w:tcPr>
            <w:tcW w:w="6520" w:type="dxa"/>
          </w:tcPr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багатозадачності;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</w:tc>
      </w:tr>
      <w:tr w:rsidR="003F24FF" w:rsidRPr="00043296" w:rsidTr="00AD41AA">
        <w:tblPrEx>
          <w:tblLook w:val="0000"/>
        </w:tblPrEx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</w:tcPr>
          <w:p w:rsidR="003F24FF" w:rsidRPr="00043296" w:rsidRDefault="003F24FF" w:rsidP="00E156E1">
            <w:pPr>
              <w:jc w:val="center"/>
              <w:rPr>
                <w:rStyle w:val="rvts9"/>
                <w:color w:val="000000"/>
                <w:lang w:val="uk-UA"/>
              </w:rPr>
            </w:pPr>
            <w:r w:rsidRPr="00E45C3C">
              <w:rPr>
                <w:lang w:val="uk-UA"/>
              </w:rPr>
              <w:t>5</w:t>
            </w:r>
          </w:p>
        </w:tc>
        <w:tc>
          <w:tcPr>
            <w:tcW w:w="2694" w:type="dxa"/>
          </w:tcPr>
          <w:p w:rsidR="003F24FF" w:rsidRPr="00043296" w:rsidRDefault="003F24FF" w:rsidP="00AD41AA">
            <w:pPr>
              <w:rPr>
                <w:bCs/>
                <w:color w:val="000000"/>
                <w:lang w:val="uk-UA"/>
              </w:rPr>
            </w:pPr>
            <w:r w:rsidRPr="00043296">
              <w:rPr>
                <w:bCs/>
                <w:color w:val="000000"/>
                <w:lang w:val="uk-UA"/>
              </w:rPr>
              <w:t>Комунікаці</w:t>
            </w:r>
            <w:r>
              <w:rPr>
                <w:bCs/>
                <w:color w:val="000000"/>
                <w:lang w:val="uk-UA"/>
              </w:rPr>
              <w:t>я</w:t>
            </w:r>
            <w:r w:rsidRPr="00043296">
              <w:rPr>
                <w:bCs/>
                <w:color w:val="000000"/>
                <w:lang w:val="uk-UA"/>
              </w:rPr>
              <w:t xml:space="preserve"> та взаємодія</w:t>
            </w:r>
          </w:p>
          <w:p w:rsidR="003F24FF" w:rsidRPr="00043296" w:rsidRDefault="003F24FF" w:rsidP="00AD41AA">
            <w:pPr>
              <w:rPr>
                <w:rStyle w:val="rvts9"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ефективної комунікації та публічних виступів;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співпраця та налагодження </w:t>
            </w:r>
            <w:r w:rsidRPr="00E45C3C">
              <w:rPr>
                <w:rStyle w:val="10"/>
                <w:color w:val="000000"/>
                <w:sz w:val="24"/>
                <w:lang w:val="uk-UA"/>
              </w:rPr>
              <w:t>партнерської взаємодії;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Style w:val="rvts9"/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>3)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 відкритість.</w:t>
            </w:r>
          </w:p>
        </w:tc>
      </w:tr>
      <w:tr w:rsidR="003F24FF" w:rsidRPr="00043296" w:rsidTr="00AD41AA">
        <w:trPr>
          <w:cantSplit/>
        </w:trPr>
        <w:tc>
          <w:tcPr>
            <w:tcW w:w="675" w:type="dxa"/>
          </w:tcPr>
          <w:p w:rsidR="003F24FF" w:rsidRPr="00043296" w:rsidRDefault="003F24FF" w:rsidP="00E156E1">
            <w:pPr>
              <w:jc w:val="center"/>
              <w:rPr>
                <w:lang w:val="uk-UA"/>
              </w:rPr>
            </w:pPr>
            <w:r w:rsidRPr="00E45C3C">
              <w:rPr>
                <w:caps/>
                <w:lang w:val="uk-UA"/>
              </w:rPr>
              <w:t>6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Впровадження змін</w:t>
            </w:r>
          </w:p>
        </w:tc>
        <w:tc>
          <w:tcPr>
            <w:tcW w:w="6520" w:type="dxa"/>
          </w:tcPr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реалізація плану змін;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здатність підтримувати зміни та працювати з реакцією на них;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оцінка ефективності здійснених змін.</w:t>
            </w:r>
          </w:p>
        </w:tc>
      </w:tr>
      <w:tr w:rsidR="003F24FF" w:rsidRPr="00043296" w:rsidTr="00AD41AA">
        <w:trPr>
          <w:cantSplit/>
        </w:trPr>
        <w:tc>
          <w:tcPr>
            <w:tcW w:w="675" w:type="dxa"/>
          </w:tcPr>
          <w:p w:rsidR="003F24FF" w:rsidRPr="00043296" w:rsidRDefault="003F24FF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7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Управління організацією</w:t>
            </w:r>
            <w:r w:rsidRPr="00043296">
              <w:rPr>
                <w:rFonts w:cs="Times New Roman"/>
                <w:bCs/>
                <w:color w:val="000000"/>
              </w:rPr>
              <w:t xml:space="preserve"> </w:t>
            </w:r>
            <w:r w:rsidRPr="00E45C3C">
              <w:rPr>
                <w:rFonts w:cs="Times New Roman"/>
                <w:bCs/>
                <w:color w:val="000000"/>
              </w:rPr>
              <w:t>роботи та персоналом</w:t>
            </w:r>
          </w:p>
        </w:tc>
        <w:tc>
          <w:tcPr>
            <w:tcW w:w="6520" w:type="dxa"/>
          </w:tcPr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організація і контроль роботи;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управління персоналом;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працювати в команді та керувати командою; 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мотивування;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оцінка і розвиток підлеглих;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розв’язання конфліктів.</w:t>
            </w:r>
          </w:p>
        </w:tc>
      </w:tr>
      <w:tr w:rsidR="003F24FF" w:rsidRPr="00673444" w:rsidTr="00AD41AA">
        <w:trPr>
          <w:cantSplit/>
        </w:trPr>
        <w:tc>
          <w:tcPr>
            <w:tcW w:w="675" w:type="dxa"/>
          </w:tcPr>
          <w:p w:rsidR="003F24FF" w:rsidRPr="00043296" w:rsidRDefault="003F24FF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8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pStyle w:val="TableContents"/>
              <w:jc w:val="both"/>
              <w:rPr>
                <w:rFonts w:eastAsia="TimesNewRomanPSMT" w:cs="Times New Roman"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6520" w:type="dxa"/>
          </w:tcPr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інноваційність та креативність;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3F24FF" w:rsidRPr="00E45C3C" w:rsidRDefault="003F24FF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3F24FF" w:rsidRPr="00E45C3C" w:rsidTr="00AD41AA">
        <w:trPr>
          <w:cantSplit/>
        </w:trPr>
        <w:tc>
          <w:tcPr>
            <w:tcW w:w="675" w:type="dxa"/>
          </w:tcPr>
          <w:p w:rsidR="003F24FF" w:rsidRPr="00E45C3C" w:rsidRDefault="003F24FF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9</w:t>
            </w:r>
          </w:p>
        </w:tc>
        <w:tc>
          <w:tcPr>
            <w:tcW w:w="2694" w:type="dxa"/>
          </w:tcPr>
          <w:p w:rsidR="003F24FF" w:rsidRPr="00E45C3C" w:rsidRDefault="003F24FF" w:rsidP="00AD41AA">
            <w:pPr>
              <w:pStyle w:val="TableContents"/>
              <w:rPr>
                <w:rFonts w:cs="Times New Roman"/>
                <w:bCs/>
                <w:color w:val="000000"/>
              </w:rPr>
            </w:pPr>
            <w:r w:rsidRPr="00E45C3C">
              <w:rPr>
                <w:rFonts w:cs="Times New Roman"/>
                <w:bCs/>
                <w:color w:val="000000"/>
              </w:rPr>
              <w:t>Знання сучасних інформаційних технологій</w:t>
            </w:r>
          </w:p>
        </w:tc>
        <w:tc>
          <w:tcPr>
            <w:tcW w:w="6520" w:type="dxa"/>
          </w:tcPr>
          <w:p w:rsidR="003F24FF" w:rsidRPr="00E45C3C" w:rsidRDefault="003F24FF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3F24FF" w:rsidRPr="000206C9" w:rsidRDefault="003F24FF" w:rsidP="00EA0CFE">
      <w:pPr>
        <w:pStyle w:val="rvps12"/>
        <w:spacing w:before="0" w:beforeAutospacing="0" w:after="0" w:afterAutospacing="0"/>
        <w:rPr>
          <w:rStyle w:val="rvts9"/>
          <w:b/>
          <w:color w:val="000000"/>
          <w:sz w:val="28"/>
          <w:szCs w:val="28"/>
          <w:lang w:val="uk-UA"/>
        </w:rPr>
      </w:pPr>
    </w:p>
    <w:p w:rsidR="003F24FF" w:rsidRPr="00A56680" w:rsidRDefault="003F24F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p w:rsidR="003F24FF" w:rsidRDefault="003F24FF" w:rsidP="00255FE8">
      <w:pPr>
        <w:jc w:val="center"/>
        <w:rPr>
          <w:b/>
          <w:color w:val="000000"/>
          <w:sz w:val="28"/>
          <w:szCs w:val="28"/>
          <w:lang w:val="uk-UA"/>
        </w:rPr>
      </w:pPr>
    </w:p>
    <w:sectPr w:rsidR="003F24FF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206C9"/>
    <w:rsid w:val="00030915"/>
    <w:rsid w:val="00043296"/>
    <w:rsid w:val="0007793B"/>
    <w:rsid w:val="000849D1"/>
    <w:rsid w:val="000E2F14"/>
    <w:rsid w:val="00105242"/>
    <w:rsid w:val="001A67F7"/>
    <w:rsid w:val="001B113C"/>
    <w:rsid w:val="00223EF3"/>
    <w:rsid w:val="00255FE8"/>
    <w:rsid w:val="002B4304"/>
    <w:rsid w:val="003219F1"/>
    <w:rsid w:val="00370B89"/>
    <w:rsid w:val="003B1A13"/>
    <w:rsid w:val="003F24FF"/>
    <w:rsid w:val="0041134B"/>
    <w:rsid w:val="00426A36"/>
    <w:rsid w:val="004361E8"/>
    <w:rsid w:val="004D5FC0"/>
    <w:rsid w:val="004F6FD3"/>
    <w:rsid w:val="0052490E"/>
    <w:rsid w:val="00560614"/>
    <w:rsid w:val="006024D5"/>
    <w:rsid w:val="00650FBD"/>
    <w:rsid w:val="00673444"/>
    <w:rsid w:val="006A3F04"/>
    <w:rsid w:val="006B171F"/>
    <w:rsid w:val="006D5D87"/>
    <w:rsid w:val="006E5DC3"/>
    <w:rsid w:val="006F3A25"/>
    <w:rsid w:val="0075246B"/>
    <w:rsid w:val="0077429F"/>
    <w:rsid w:val="007B064E"/>
    <w:rsid w:val="00801F08"/>
    <w:rsid w:val="00812424"/>
    <w:rsid w:val="00883432"/>
    <w:rsid w:val="00884D3A"/>
    <w:rsid w:val="008C1D27"/>
    <w:rsid w:val="008C1EBB"/>
    <w:rsid w:val="00923943"/>
    <w:rsid w:val="00923CAD"/>
    <w:rsid w:val="00955A96"/>
    <w:rsid w:val="00970AE0"/>
    <w:rsid w:val="00976E47"/>
    <w:rsid w:val="009825BB"/>
    <w:rsid w:val="009827AF"/>
    <w:rsid w:val="00987379"/>
    <w:rsid w:val="009A5550"/>
    <w:rsid w:val="009A61B5"/>
    <w:rsid w:val="009C6521"/>
    <w:rsid w:val="009D70C3"/>
    <w:rsid w:val="009E6208"/>
    <w:rsid w:val="00A05299"/>
    <w:rsid w:val="00A13823"/>
    <w:rsid w:val="00A543CC"/>
    <w:rsid w:val="00A56680"/>
    <w:rsid w:val="00A96EF4"/>
    <w:rsid w:val="00AC5F9F"/>
    <w:rsid w:val="00AD41AA"/>
    <w:rsid w:val="00AE797F"/>
    <w:rsid w:val="00B05B5E"/>
    <w:rsid w:val="00BD73BD"/>
    <w:rsid w:val="00BE679A"/>
    <w:rsid w:val="00C21A6C"/>
    <w:rsid w:val="00C35280"/>
    <w:rsid w:val="00C97E42"/>
    <w:rsid w:val="00D00E3F"/>
    <w:rsid w:val="00D333F1"/>
    <w:rsid w:val="00DA4507"/>
    <w:rsid w:val="00DF086B"/>
    <w:rsid w:val="00E156E1"/>
    <w:rsid w:val="00E16FB5"/>
    <w:rsid w:val="00E24543"/>
    <w:rsid w:val="00E45C3C"/>
    <w:rsid w:val="00E47BD7"/>
    <w:rsid w:val="00EA0CFE"/>
    <w:rsid w:val="00EC2CF0"/>
    <w:rsid w:val="00F67EB6"/>
    <w:rsid w:val="00FA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7793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077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ий текст"/>
    <w:basedOn w:val="Normal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Normal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07793B"/>
    <w:pPr>
      <w:spacing w:before="100" w:beforeAutospacing="1" w:after="100" w:afterAutospacing="1"/>
    </w:pPr>
  </w:style>
  <w:style w:type="character" w:customStyle="1" w:styleId="a1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basedOn w:val="DefaultParagraphFont"/>
    <w:uiPriority w:val="99"/>
    <w:rsid w:val="0007793B"/>
    <w:rPr>
      <w:rFonts w:cs="Times New Roman"/>
    </w:rPr>
  </w:style>
  <w:style w:type="character" w:customStyle="1" w:styleId="rvts23">
    <w:name w:val="rvts23"/>
    <w:basedOn w:val="DefaultParagraphFont"/>
    <w:uiPriority w:val="99"/>
    <w:rsid w:val="0007793B"/>
    <w:rPr>
      <w:rFonts w:cs="Times New Roman"/>
    </w:rPr>
  </w:style>
  <w:style w:type="character" w:customStyle="1" w:styleId="rvts15">
    <w:name w:val="rvts15"/>
    <w:basedOn w:val="DefaultParagraphFont"/>
    <w:uiPriority w:val="99"/>
    <w:rsid w:val="0007793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Normal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rbm.lg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5</Pages>
  <Words>1554</Words>
  <Characters>8862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Оля</cp:lastModifiedBy>
  <cp:revision>35</cp:revision>
  <dcterms:created xsi:type="dcterms:W3CDTF">2017-01-19T09:35:00Z</dcterms:created>
  <dcterms:modified xsi:type="dcterms:W3CDTF">2017-06-22T12:58:00Z</dcterms:modified>
</cp:coreProperties>
</file>