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України     в     Луганській   області</w:t>
      </w:r>
    </w:p>
    <w:p w:rsidR="00C80F93" w:rsidRPr="00A359F7" w:rsidRDefault="009E0D13" w:rsidP="00A359F7">
      <w:pPr>
        <w:ind w:left="5664"/>
        <w:jc w:val="both"/>
        <w:rPr>
          <w:lang w:val="uk-UA"/>
        </w:rPr>
      </w:pPr>
      <w:r>
        <w:rPr>
          <w:lang w:val="uk-UA"/>
        </w:rPr>
        <w:t>в</w:t>
      </w:r>
      <w:r w:rsidR="00C77B94">
        <w:rPr>
          <w:lang w:val="uk-UA"/>
        </w:rPr>
        <w:t xml:space="preserve">ід </w:t>
      </w:r>
      <w:r w:rsidR="00F74B07">
        <w:rPr>
          <w:lang w:val="uk-UA"/>
        </w:rPr>
        <w:t>22</w:t>
      </w:r>
      <w:r w:rsidR="00184380">
        <w:rPr>
          <w:lang w:val="uk-UA"/>
        </w:rPr>
        <w:t>.0</w:t>
      </w:r>
      <w:r w:rsidR="00F74B07">
        <w:rPr>
          <w:lang w:val="uk-UA"/>
        </w:rPr>
        <w:t>7</w:t>
      </w:r>
      <w:r w:rsidR="00184380">
        <w:rPr>
          <w:lang w:val="uk-UA"/>
        </w:rPr>
        <w:t>.2019</w:t>
      </w:r>
      <w:r w:rsidR="00C77B94">
        <w:rPr>
          <w:lang w:val="uk-UA"/>
        </w:rPr>
        <w:t>р.</w:t>
      </w:r>
      <w:r w:rsidR="002976C1">
        <w:rPr>
          <w:lang w:val="uk-UA"/>
        </w:rPr>
        <w:t xml:space="preserve"> № </w:t>
      </w:r>
      <w:r w:rsidR="00F74B07">
        <w:rPr>
          <w:lang w:val="uk-UA"/>
        </w:rPr>
        <w:t>44</w:t>
      </w:r>
      <w:r w:rsidR="002976C1">
        <w:rPr>
          <w:lang w:val="uk-UA"/>
        </w:rPr>
        <w:t>/к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  <w:r w:rsidR="00916F76">
        <w:rPr>
          <w:b/>
          <w:lang w:val="uk-UA"/>
        </w:rPr>
        <w:t xml:space="preserve"> 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  <w:r w:rsidR="00F74B07">
        <w:rPr>
          <w:b/>
          <w:lang w:val="uk-UA"/>
        </w:rPr>
        <w:t xml:space="preserve"> заступника</w:t>
      </w:r>
    </w:p>
    <w:p w:rsidR="00A71362" w:rsidRDefault="004C11F8" w:rsidP="002976C1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 xml:space="preserve">керівника апарату </w:t>
      </w:r>
      <w:r w:rsidR="00CC7C44">
        <w:rPr>
          <w:rStyle w:val="rvts15"/>
          <w:b/>
          <w:lang w:val="uk-UA"/>
        </w:rPr>
        <w:t>Луганського окружного адміністративного суду</w:t>
      </w:r>
    </w:p>
    <w:p w:rsidR="002976C1" w:rsidRPr="002976C1" w:rsidRDefault="002976C1" w:rsidP="002976C1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273155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>
              <w:rPr>
                <w:lang w:val="uk-UA" w:bidi="uk-UA"/>
              </w:rPr>
              <w:t xml:space="preserve">1. </w:t>
            </w:r>
            <w:r w:rsidRPr="00831074">
              <w:rPr>
                <w:lang w:val="uk-UA" w:bidi="uk-UA"/>
              </w:rPr>
              <w:t>За відсутності керівника апарату здійснює безпосереднє керівництво апаратом суду, спільно з керівником апарату забезпечує організацію роботи працівників апарату суду, їх взаємодію у виконанні завдань, покладених на апарат суду та належну організацію функціонування автоматизованої системи документообігу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2. Координує та здійснює контроль за організацією діяльності структурних підрозділів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3</w:t>
            </w:r>
            <w:r w:rsidR="006E56A7">
              <w:rPr>
                <w:lang w:val="uk-UA" w:bidi="uk-UA"/>
              </w:rPr>
              <w:t>.</w:t>
            </w:r>
            <w:r w:rsidRPr="00831074">
              <w:rPr>
                <w:lang w:val="uk-UA" w:bidi="uk-UA"/>
              </w:rPr>
              <w:t xml:space="preserve"> Надає начальникам, заступникам начальників структурних підрозділів суду практичну допомогу щодо організації їх роботи, застосування норм законодавства, тощо.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4. Забезпечує виконання наказів і розпоряджень голови суду та керівника апарату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5. Вносить керівнику апарату суду пропозиції щодо заохочення, застосування заходів дисциплінарного впливу.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6. Організовує проведення навчань та семінарів з працівниками апарату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 xml:space="preserve">7. Очолює комісію з проведення конкурсу на зайняття вакантних посад категорій «Б» і «В» державної служби. 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8. Організовує проведення оцінювання результатів службової діяльності державних службовців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9. Вносить керівнику апарату суду пропозиції до плану роботи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10. Готує проекти наказів з основної та адміністративно-господарської діяльності за дорученням голови суду або керівника апарату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11 Розробляє проекти відповідних актів стосовно організації внутрішньої діяльності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12. Готує перспективні і поточні плани роботи суду, забезпечує їх виконання, готує аналітичні матеріали щодо їх реалізації.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lang w:val="uk-UA" w:bidi="uk-UA"/>
              </w:rPr>
            </w:pPr>
            <w:r w:rsidRPr="00831074">
              <w:rPr>
                <w:lang w:val="uk-UA" w:bidi="uk-UA"/>
              </w:rPr>
              <w:t>13. Забезпечує доступ користувачів (суддів і працівників апарату суду) до Єдиного державного реєстру юридичних осіб та фізичних осіб- підприємців.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14. Забезпечує своєчасне виготовлення та забезпечення суддів та працівників апарату суду (державних службовців) ключами електронного цифрового підпису.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15 Вносить пропозиції керівнику апарату суду щодо удосконалення організації діяльності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16. Контролює дотримання законодавства про державну службу та Закону України «Про запобігання корупції» в апараті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lastRenderedPageBreak/>
              <w:t>17. Забезпечує ведення діловодства суду в порядку встановленому чинним законодавством та відповідно до Інструкції з діловодства в адміністративних судах України.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18. Координує здійснення організаційних заходів щодо підготовки засідань зборів суддів суду, інформаційно-методичних матеріалів, проведення судових засідань.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19. Контролює належне адміністрування, наповнення, оновлення, розміщення інформації на веб-сторінці Луганського окружного адміністративного суду веб-порталу «Судова влада України», домену та серверів комп’ютерної мережі.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20. Контролює забезпечення захисту інформаційних ресурсів системи автоматизованого документообігу суду шляхом застосування засобів і методів технічного захисту інформації, впровадження організаційних та інженерно - технічних заходів комплексної системи захисту інформації, спрямованих на недопущення блокування інформації, несанкціонованого доступу до неї, її модифікації або створення.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21. Забезпечує побудову і впровадження комплексної системи захисту інформації в інформаційно-телекомунікаційній системі відповідно до Положення з порядку побудови та впровадження комплексної системи захисту інформації в суді.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lang w:val="uk-UA" w:bidi="uk-UA"/>
              </w:rPr>
            </w:pPr>
            <w:r w:rsidRPr="00831074">
              <w:rPr>
                <w:lang w:val="uk-UA" w:bidi="uk-UA"/>
              </w:rPr>
              <w:t>22. Інформує керівника апарату суду про свою діяльність та діяльність апарату суду з доручених йому завдань.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23. Забезпечує виготовлення, зберігання і належне використання печаток і штампів суду.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24. Здійснює контроль за функціонуванням Єдиної судової інформаційно-телекомунікаційної системи, підсистем та модулів, які входять до її складу.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25. Вживає заходів щодо підвищення доступності до правосуддя особам з інвалідністю.</w:t>
            </w:r>
          </w:p>
          <w:p w:rsidR="00F74B07" w:rsidRPr="00831074" w:rsidRDefault="00F74B07" w:rsidP="00F74B07">
            <w:pPr>
              <w:ind w:firstLine="176"/>
              <w:jc w:val="both"/>
              <w:rPr>
                <w:b/>
                <w:bCs/>
                <w:lang w:val="uk-UA"/>
              </w:rPr>
            </w:pPr>
            <w:r w:rsidRPr="00831074">
              <w:rPr>
                <w:lang w:val="uk-UA" w:bidi="uk-UA"/>
              </w:rPr>
              <w:t>26. Забезпечує виконання та дотримання правил охорони праці та завдань протипожежної безпеки.</w:t>
            </w:r>
          </w:p>
          <w:p w:rsidR="00A71362" w:rsidRPr="00E45C3C" w:rsidRDefault="00F74B07" w:rsidP="00F74B07">
            <w:pPr>
              <w:jc w:val="both"/>
              <w:rPr>
                <w:lang w:val="uk-UA"/>
              </w:rPr>
            </w:pPr>
            <w:r w:rsidRPr="00831074">
              <w:rPr>
                <w:lang w:val="uk-UA" w:bidi="uk-UA"/>
              </w:rPr>
              <w:t>27. Виконує інші доручення керівника апарату суду з організації роботи апарату суду щодо забезпечення діяльності суду, а також доручення голови суду та його заступника з адміністративних питань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061307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061307">
              <w:rPr>
                <w:lang w:val="uk-UA"/>
              </w:rPr>
              <w:t>12790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E411E9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13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рокове, до виходу із соціальної відпустки основного працівника</w:t>
            </w:r>
            <w:r w:rsidR="00A71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4F68D9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письмову заяву, в якій </w:t>
            </w:r>
            <w:r w:rsidR="00E955A2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lastRenderedPageBreak/>
              <w:t>відомостей стосовно неї відповідно до зазначеного Закону</w:t>
            </w:r>
            <w:r w:rsidRPr="004F6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0B1CD4" w:rsidRPr="00E45C3C" w:rsidRDefault="003573A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8).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конкурсі на зайняття вакантної посади державної служби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категорії «А»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«Б»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>, також подає до конкурсної комісії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A71362" w:rsidRPr="005D2A33" w:rsidRDefault="00A71362" w:rsidP="00C2184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="00E144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F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календарни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</w:t>
            </w:r>
            <w:r w:rsidR="005D2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офіційному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веб-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сайті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НАДС та на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офіційному веб-сайті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територіального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</w:t>
            </w:r>
            <w:r w:rsidR="00D270E9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7228E6" w:rsidRPr="00F17C25" w:rsidRDefault="007228E6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Документи що подаються для участі в конкурсі приймаються до 17:00</w:t>
            </w:r>
            <w:r w:rsidR="00BC41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411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05</w:t>
            </w:r>
            <w:r w:rsidR="001B38A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411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серпня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року.</w:t>
            </w:r>
          </w:p>
        </w:tc>
      </w:tr>
      <w:tr w:rsidR="008A0BDA" w:rsidTr="0007793B">
        <w:tc>
          <w:tcPr>
            <w:tcW w:w="2943" w:type="dxa"/>
          </w:tcPr>
          <w:p w:rsidR="008A0BDA" w:rsidRPr="009C669B" w:rsidRDefault="008A0BDA" w:rsidP="00210FA4">
            <w:pPr>
              <w:rPr>
                <w:b/>
                <w:color w:val="000000" w:themeColor="text1"/>
              </w:rPr>
            </w:pPr>
            <w:r w:rsidRPr="009C669B">
              <w:rPr>
                <w:b/>
                <w:color w:val="000000" w:themeColor="text1"/>
              </w:rPr>
              <w:lastRenderedPageBreak/>
              <w:t>Додаткові (необов’язкові) документи</w:t>
            </w:r>
          </w:p>
        </w:tc>
        <w:tc>
          <w:tcPr>
            <w:tcW w:w="6705" w:type="dxa"/>
          </w:tcPr>
          <w:p w:rsidR="008A0BDA" w:rsidRPr="009C669B" w:rsidRDefault="008A0BDA" w:rsidP="00210FA4">
            <w:pPr>
              <w:rPr>
                <w:rStyle w:val="rvts15"/>
                <w:color w:val="000000" w:themeColor="text1"/>
              </w:rPr>
            </w:pPr>
            <w:r w:rsidRPr="009C669B">
              <w:rPr>
                <w:color w:val="000000" w:themeColor="text1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</w:tr>
      <w:tr w:rsidR="008A0BDA" w:rsidTr="0007793B">
        <w:tc>
          <w:tcPr>
            <w:tcW w:w="2943" w:type="dxa"/>
          </w:tcPr>
          <w:p w:rsidR="008A0BDA" w:rsidRPr="009C669B" w:rsidRDefault="00A12B43">
            <w:pPr>
              <w:rPr>
                <w:b/>
                <w:color w:val="000000" w:themeColor="text1"/>
                <w:lang w:val="uk-UA"/>
              </w:rPr>
            </w:pPr>
            <w:r w:rsidRPr="009C669B">
              <w:rPr>
                <w:b/>
                <w:color w:val="000000" w:themeColor="text1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705" w:type="dxa"/>
          </w:tcPr>
          <w:p w:rsidR="008A0BDA" w:rsidRDefault="008A0BDA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.00 годині</w:t>
            </w:r>
            <w:r>
              <w:rPr>
                <w:rFonts w:ascii="Times New Roman" w:hAnsi="Times New Roman"/>
                <w:sz w:val="24"/>
                <w:szCs w:val="24"/>
              </w:rPr>
              <w:t>, 09 серпня 2019 року.</w:t>
            </w:r>
          </w:p>
          <w:p w:rsidR="008A0BDA" w:rsidRPr="00E45C3C" w:rsidRDefault="008A0BDA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DA" w:rsidTr="0007793B">
        <w:tc>
          <w:tcPr>
            <w:tcW w:w="2943" w:type="dxa"/>
          </w:tcPr>
          <w:p w:rsidR="008A0BDA" w:rsidRPr="00E45C3C" w:rsidRDefault="008A0BDA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8A0BDA" w:rsidRPr="00E45C3C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  <w:r w:rsidRPr="00E45C3C">
              <w:rPr>
                <w:lang w:val="uk-UA"/>
              </w:rPr>
              <w:t>,</w:t>
            </w:r>
          </w:p>
          <w:p w:rsidR="008A0BDA" w:rsidRPr="00E45C3C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8A0BDA" w:rsidRPr="00E45C3C" w:rsidRDefault="00677936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8A0BDA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@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lg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gov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ua</w:t>
              </w:r>
            </w:hyperlink>
          </w:p>
          <w:p w:rsidR="008A0BDA" w:rsidRPr="00E45C3C" w:rsidRDefault="008A0B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Default="00CB5FDE" w:rsidP="003C72F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B7C35">
              <w:rPr>
                <w:lang w:val="uk-UA"/>
              </w:rPr>
              <w:t>ища, не нижче магістра</w:t>
            </w:r>
            <w:r w:rsidR="00F17C25">
              <w:rPr>
                <w:lang w:val="uk-UA"/>
              </w:rPr>
              <w:t xml:space="preserve">. </w:t>
            </w:r>
          </w:p>
          <w:p w:rsidR="00A71362" w:rsidRPr="00E45C3C" w:rsidRDefault="00CB24FC" w:rsidP="00CB24FC">
            <w:pPr>
              <w:rPr>
                <w:lang w:val="uk-UA"/>
              </w:rPr>
            </w:pPr>
            <w:r w:rsidRPr="009C669B">
              <w:rPr>
                <w:color w:val="000000" w:themeColor="text1"/>
                <w:lang w:val="uk-UA"/>
              </w:rPr>
              <w:t>За напрямком:</w:t>
            </w:r>
            <w:r w:rsidR="002000A9" w:rsidRPr="009C669B">
              <w:rPr>
                <w:color w:val="000000" w:themeColor="text1"/>
                <w:lang w:val="uk-UA"/>
              </w:rPr>
              <w:t xml:space="preserve"> </w:t>
            </w:r>
            <w:r w:rsidRPr="009C669B">
              <w:rPr>
                <w:color w:val="000000" w:themeColor="text1"/>
                <w:lang w:val="uk-UA"/>
              </w:rPr>
              <w:t>юридичним</w:t>
            </w:r>
            <w:r w:rsidR="00F17C25" w:rsidRPr="009C669B">
              <w:rPr>
                <w:color w:val="000000" w:themeColor="text1"/>
                <w:lang w:val="uk-UA"/>
              </w:rPr>
              <w:t>, економічн</w:t>
            </w:r>
            <w:r w:rsidR="002000A9" w:rsidRPr="009C669B">
              <w:rPr>
                <w:color w:val="000000" w:themeColor="text1"/>
                <w:lang w:val="uk-UA"/>
              </w:rPr>
              <w:t>и</w:t>
            </w:r>
            <w:r w:rsidRPr="009C669B">
              <w:rPr>
                <w:color w:val="000000" w:themeColor="text1"/>
                <w:lang w:val="uk-UA"/>
              </w:rPr>
              <w:t>м</w:t>
            </w:r>
            <w:r w:rsidR="00F17C25" w:rsidRPr="00E45C3C">
              <w:rPr>
                <w:color w:val="000000"/>
                <w:lang w:val="uk-UA"/>
              </w:rPr>
              <w:t xml:space="preserve"> </w:t>
            </w:r>
            <w:r w:rsidR="00F17C25">
              <w:rPr>
                <w:color w:val="000000"/>
                <w:lang w:val="uk-UA"/>
              </w:rPr>
              <w:t>або</w:t>
            </w:r>
            <w:r w:rsidR="00F17C25" w:rsidRPr="00E45C3C">
              <w:rPr>
                <w:color w:val="000000"/>
                <w:lang w:val="uk-UA"/>
              </w:rPr>
              <w:t xml:space="preserve"> державн</w:t>
            </w:r>
            <w:r w:rsidR="00D270E9">
              <w:rPr>
                <w:color w:val="000000"/>
                <w:lang w:val="uk-UA"/>
              </w:rPr>
              <w:t>е</w:t>
            </w:r>
            <w:r w:rsidR="00F17C25" w:rsidRPr="00E45C3C">
              <w:rPr>
                <w:color w:val="000000"/>
                <w:lang w:val="uk-UA"/>
              </w:rPr>
              <w:t xml:space="preserve"> управління</w:t>
            </w:r>
            <w:r w:rsidR="00D270E9">
              <w:rPr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A71362" w:rsidP="00972ADD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972ADD" w:rsidRPr="00972ADD">
              <w:t>двох</w:t>
            </w:r>
            <w:r w:rsidRPr="00E45C3C">
              <w:rPr>
                <w:lang w:val="uk-UA"/>
              </w:rPr>
              <w:t xml:space="preserve"> рок</w:t>
            </w:r>
            <w:r w:rsidR="00972ADD">
              <w:rPr>
                <w:lang w:val="uk-UA"/>
              </w:rPr>
              <w:t>ів</w:t>
            </w:r>
            <w:r w:rsidRPr="00E45C3C">
              <w:rPr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043296" w:rsidTr="00617CE7">
        <w:trPr>
          <w:cantSplit/>
          <w:trHeight w:val="3598"/>
        </w:trPr>
        <w:tc>
          <w:tcPr>
            <w:tcW w:w="675" w:type="dxa"/>
          </w:tcPr>
          <w:p w:rsidR="000C2AFC" w:rsidRPr="00E45C3C" w:rsidRDefault="000C2AFC" w:rsidP="00E156E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  <w:p w:rsidR="000C2AFC" w:rsidRPr="00E45C3C" w:rsidRDefault="000C2AFC" w:rsidP="00E156E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0C2AFC" w:rsidRPr="00E45C3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0C2AF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6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7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8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9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0C2AFC" w:rsidRPr="00E45C3C" w:rsidRDefault="000C2AFC" w:rsidP="00673444">
            <w:pPr>
              <w:pStyle w:val="rvps12"/>
              <w:jc w:val="both"/>
            </w:pP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656B69" w:rsidTr="00476024">
        <w:trPr>
          <w:trHeight w:val="574"/>
        </w:trPr>
        <w:tc>
          <w:tcPr>
            <w:tcW w:w="5000" w:type="pct"/>
            <w:gridSpan w:val="3"/>
          </w:tcPr>
          <w:p w:rsidR="00476024" w:rsidRPr="00656B69" w:rsidRDefault="00476024" w:rsidP="00096793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656B69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273155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Default="00476024" w:rsidP="00096793">
            <w:pPr>
              <w:jc w:val="center"/>
              <w:rPr>
                <w:lang w:val="en-US"/>
              </w:rPr>
            </w:pPr>
            <w:r w:rsidRPr="00656B69">
              <w:rPr>
                <w:lang w:val="uk-UA"/>
              </w:rPr>
              <w:t>1.</w:t>
            </w: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Pr="00A17D48" w:rsidRDefault="00A17D48" w:rsidP="00096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77" w:type="pct"/>
          </w:tcPr>
          <w:p w:rsidR="00476024" w:rsidRPr="00CC7C44" w:rsidRDefault="00476024" w:rsidP="00096793">
            <w:pPr>
              <w:rPr>
                <w:b/>
              </w:rPr>
            </w:pPr>
            <w:r w:rsidRPr="00656B69">
              <w:rPr>
                <w:b/>
                <w:lang w:val="uk-UA"/>
              </w:rPr>
              <w:t>Знання законодавства</w:t>
            </w:r>
          </w:p>
          <w:p w:rsidR="00A17D48" w:rsidRPr="00CC7C44" w:rsidRDefault="00A17D48" w:rsidP="00096793">
            <w:pPr>
              <w:rPr>
                <w:b/>
              </w:rPr>
            </w:pPr>
          </w:p>
          <w:p w:rsidR="00A17D48" w:rsidRPr="00CC7C44" w:rsidRDefault="00A17D48" w:rsidP="00096793">
            <w:pPr>
              <w:rPr>
                <w:b/>
              </w:rPr>
            </w:pP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Pr="00CC7C44" w:rsidRDefault="00A17D48" w:rsidP="00096793">
            <w:pPr>
              <w:jc w:val="both"/>
              <w:rPr>
                <w:color w:val="000000"/>
              </w:rPr>
            </w:pP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Законів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 w:rsidRPr="00656B69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«Про захист персональних даних», «Про бухгалтерський облік та фінансову звітність в Україні».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Кодексу законів про працю України, Цивільного кодексу України,Кримінальний кодекс України, Бюджетного кодексу  України, Господарського кодексу України, Кодексу адміністративного судочинства України, відповідних процесуальних кодексів.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Постанов Верховної Ради України; </w:t>
            </w: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>Актів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656B69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lang w:val="uk-UA"/>
              </w:rPr>
              <w:t xml:space="preserve">Рішень Вищої ради правосуддя, рішень Ради суддів </w:t>
            </w:r>
            <w:r w:rsidRPr="00656B69">
              <w:rPr>
                <w:lang w:val="uk-UA"/>
              </w:rPr>
              <w:lastRenderedPageBreak/>
              <w:t>України та наказів ДСА України та ТУ ДСА України в Луганській області, з питань організаційного забезпечення діяльності судів.</w:t>
            </w:r>
          </w:p>
        </w:tc>
      </w:tr>
    </w:tbl>
    <w:p w:rsidR="00A12B43" w:rsidRPr="00273155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273155">
        <w:rPr>
          <w:color w:val="000000" w:themeColor="text1"/>
          <w:lang w:val="uk-UA"/>
        </w:rPr>
        <w:lastRenderedPageBreak/>
        <w:t>Примітка.</w:t>
      </w:r>
    </w:p>
    <w:p w:rsidR="00A12B43" w:rsidRPr="00273155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273155">
        <w:rPr>
          <w:color w:val="000000" w:themeColor="text1"/>
          <w:lang w:val="uk-UA"/>
        </w:rPr>
        <w:t>У разі оголошення конкурсу на зайняття вакантної посади категорії «А» у графі «Місце, час і дата початку проведення перевірки володіння іноземною мовою, яка є однією з офіційних мов Ради Європи/тестування» зазначається дата початку такої перевірки, а для категорій "Б" або "В" - дата початку тестування.</w:t>
      </w:r>
    </w:p>
    <w:p w:rsidR="00A71362" w:rsidRPr="00273155" w:rsidRDefault="00A71362" w:rsidP="0032150E">
      <w:pPr>
        <w:rPr>
          <w:b/>
          <w:color w:val="000000" w:themeColor="text1"/>
          <w:sz w:val="28"/>
          <w:szCs w:val="28"/>
          <w:lang w:val="uk-UA"/>
        </w:rPr>
      </w:pPr>
    </w:p>
    <w:sectPr w:rsidR="00A71362" w:rsidRPr="00273155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65" w:rsidRDefault="00BE4365" w:rsidP="00FC76AF">
      <w:r>
        <w:separator/>
      </w:r>
    </w:p>
  </w:endnote>
  <w:endnote w:type="continuationSeparator" w:id="1">
    <w:p w:rsidR="00BE4365" w:rsidRDefault="00BE4365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65" w:rsidRDefault="00BE4365" w:rsidP="00FC76AF">
      <w:r>
        <w:separator/>
      </w:r>
    </w:p>
  </w:footnote>
  <w:footnote w:type="continuationSeparator" w:id="1">
    <w:p w:rsidR="00BE4365" w:rsidRDefault="00BE4365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15A89"/>
    <w:rsid w:val="000206C9"/>
    <w:rsid w:val="00030915"/>
    <w:rsid w:val="00043296"/>
    <w:rsid w:val="00061307"/>
    <w:rsid w:val="0007793B"/>
    <w:rsid w:val="000849D1"/>
    <w:rsid w:val="000978A6"/>
    <w:rsid w:val="000B1CD4"/>
    <w:rsid w:val="000C2AFC"/>
    <w:rsid w:val="000E2F14"/>
    <w:rsid w:val="000F6468"/>
    <w:rsid w:val="00103AD1"/>
    <w:rsid w:val="00105242"/>
    <w:rsid w:val="00135534"/>
    <w:rsid w:val="00153D23"/>
    <w:rsid w:val="001811C9"/>
    <w:rsid w:val="00184380"/>
    <w:rsid w:val="001A41C7"/>
    <w:rsid w:val="001A67F7"/>
    <w:rsid w:val="001B113C"/>
    <w:rsid w:val="001B38A9"/>
    <w:rsid w:val="001B79CC"/>
    <w:rsid w:val="001B7C35"/>
    <w:rsid w:val="001F0664"/>
    <w:rsid w:val="001F3E06"/>
    <w:rsid w:val="002000A9"/>
    <w:rsid w:val="00200704"/>
    <w:rsid w:val="00200A7D"/>
    <w:rsid w:val="00223EF3"/>
    <w:rsid w:val="002364E5"/>
    <w:rsid w:val="00255FE8"/>
    <w:rsid w:val="00273155"/>
    <w:rsid w:val="002906F9"/>
    <w:rsid w:val="002945BA"/>
    <w:rsid w:val="002976C1"/>
    <w:rsid w:val="002B4304"/>
    <w:rsid w:val="002F032B"/>
    <w:rsid w:val="003007A1"/>
    <w:rsid w:val="00301361"/>
    <w:rsid w:val="00310D0B"/>
    <w:rsid w:val="00316683"/>
    <w:rsid w:val="0032150E"/>
    <w:rsid w:val="003219F1"/>
    <w:rsid w:val="00342820"/>
    <w:rsid w:val="00354D03"/>
    <w:rsid w:val="003573AB"/>
    <w:rsid w:val="003575D2"/>
    <w:rsid w:val="00370B89"/>
    <w:rsid w:val="00382393"/>
    <w:rsid w:val="00390228"/>
    <w:rsid w:val="003B03F5"/>
    <w:rsid w:val="003B1A13"/>
    <w:rsid w:val="003B6819"/>
    <w:rsid w:val="003C2294"/>
    <w:rsid w:val="003C60D9"/>
    <w:rsid w:val="003C72FA"/>
    <w:rsid w:val="003D3757"/>
    <w:rsid w:val="003E0269"/>
    <w:rsid w:val="004109B5"/>
    <w:rsid w:val="0041134B"/>
    <w:rsid w:val="0042622C"/>
    <w:rsid w:val="00426A36"/>
    <w:rsid w:val="004361E8"/>
    <w:rsid w:val="00464EA4"/>
    <w:rsid w:val="00475CF4"/>
    <w:rsid w:val="00476024"/>
    <w:rsid w:val="00495480"/>
    <w:rsid w:val="00495F5D"/>
    <w:rsid w:val="00496644"/>
    <w:rsid w:val="004C11F8"/>
    <w:rsid w:val="004D5FC0"/>
    <w:rsid w:val="004F3F8F"/>
    <w:rsid w:val="004F68D9"/>
    <w:rsid w:val="004F6FD3"/>
    <w:rsid w:val="0050360A"/>
    <w:rsid w:val="005050ED"/>
    <w:rsid w:val="0052490E"/>
    <w:rsid w:val="00533844"/>
    <w:rsid w:val="00555572"/>
    <w:rsid w:val="00560614"/>
    <w:rsid w:val="00570CB7"/>
    <w:rsid w:val="005736E5"/>
    <w:rsid w:val="005D2A33"/>
    <w:rsid w:val="005F15EC"/>
    <w:rsid w:val="006024D5"/>
    <w:rsid w:val="00602DF4"/>
    <w:rsid w:val="0062653C"/>
    <w:rsid w:val="00637731"/>
    <w:rsid w:val="00650FBD"/>
    <w:rsid w:val="00656B69"/>
    <w:rsid w:val="00672E9F"/>
    <w:rsid w:val="00673444"/>
    <w:rsid w:val="00677936"/>
    <w:rsid w:val="00694FEE"/>
    <w:rsid w:val="006A17EA"/>
    <w:rsid w:val="006A3F04"/>
    <w:rsid w:val="006B171F"/>
    <w:rsid w:val="006C595E"/>
    <w:rsid w:val="006D2DF2"/>
    <w:rsid w:val="006D5D87"/>
    <w:rsid w:val="006D5E99"/>
    <w:rsid w:val="006E56A7"/>
    <w:rsid w:val="006E5DC3"/>
    <w:rsid w:val="006F3A25"/>
    <w:rsid w:val="00703F43"/>
    <w:rsid w:val="007228E6"/>
    <w:rsid w:val="00740063"/>
    <w:rsid w:val="00741E8F"/>
    <w:rsid w:val="0075246B"/>
    <w:rsid w:val="007628F4"/>
    <w:rsid w:val="00764538"/>
    <w:rsid w:val="0077429F"/>
    <w:rsid w:val="00780AC1"/>
    <w:rsid w:val="00784FBF"/>
    <w:rsid w:val="00795B92"/>
    <w:rsid w:val="00797CD7"/>
    <w:rsid w:val="007A2A82"/>
    <w:rsid w:val="007B064E"/>
    <w:rsid w:val="007F2822"/>
    <w:rsid w:val="008009C0"/>
    <w:rsid w:val="00812424"/>
    <w:rsid w:val="0086064A"/>
    <w:rsid w:val="00862805"/>
    <w:rsid w:val="00882BF7"/>
    <w:rsid w:val="00884D3A"/>
    <w:rsid w:val="008A0BDA"/>
    <w:rsid w:val="008C1EBB"/>
    <w:rsid w:val="008C6DA9"/>
    <w:rsid w:val="008D5185"/>
    <w:rsid w:val="008F06CD"/>
    <w:rsid w:val="00916F76"/>
    <w:rsid w:val="00923943"/>
    <w:rsid w:val="00923CAD"/>
    <w:rsid w:val="00925DA9"/>
    <w:rsid w:val="00955A96"/>
    <w:rsid w:val="00964D22"/>
    <w:rsid w:val="00970AE0"/>
    <w:rsid w:val="00972068"/>
    <w:rsid w:val="00972ADD"/>
    <w:rsid w:val="00974A8D"/>
    <w:rsid w:val="0097598F"/>
    <w:rsid w:val="00976E47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C669B"/>
    <w:rsid w:val="009D70C3"/>
    <w:rsid w:val="009E0D13"/>
    <w:rsid w:val="009E6208"/>
    <w:rsid w:val="00A03728"/>
    <w:rsid w:val="00A061AB"/>
    <w:rsid w:val="00A12B43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96EF4"/>
    <w:rsid w:val="00AC5F9F"/>
    <w:rsid w:val="00AD41AA"/>
    <w:rsid w:val="00AF5009"/>
    <w:rsid w:val="00B05B5E"/>
    <w:rsid w:val="00B149C6"/>
    <w:rsid w:val="00B35708"/>
    <w:rsid w:val="00B42C7D"/>
    <w:rsid w:val="00B51340"/>
    <w:rsid w:val="00B87FDE"/>
    <w:rsid w:val="00BC4140"/>
    <w:rsid w:val="00BD73BD"/>
    <w:rsid w:val="00BE4365"/>
    <w:rsid w:val="00BE679A"/>
    <w:rsid w:val="00C21848"/>
    <w:rsid w:val="00C21A6C"/>
    <w:rsid w:val="00C21C75"/>
    <w:rsid w:val="00C35280"/>
    <w:rsid w:val="00C35F78"/>
    <w:rsid w:val="00C43AB2"/>
    <w:rsid w:val="00C4477E"/>
    <w:rsid w:val="00C77B94"/>
    <w:rsid w:val="00C80F93"/>
    <w:rsid w:val="00C97E42"/>
    <w:rsid w:val="00CA6BDC"/>
    <w:rsid w:val="00CA72CA"/>
    <w:rsid w:val="00CB24FC"/>
    <w:rsid w:val="00CB5FDE"/>
    <w:rsid w:val="00CB774D"/>
    <w:rsid w:val="00CC7C44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DF1A4C"/>
    <w:rsid w:val="00E14402"/>
    <w:rsid w:val="00E156E1"/>
    <w:rsid w:val="00E15B59"/>
    <w:rsid w:val="00E16FB5"/>
    <w:rsid w:val="00E174A2"/>
    <w:rsid w:val="00E27DA4"/>
    <w:rsid w:val="00E411E9"/>
    <w:rsid w:val="00E43CD3"/>
    <w:rsid w:val="00E45C3C"/>
    <w:rsid w:val="00E47BD7"/>
    <w:rsid w:val="00E53B6B"/>
    <w:rsid w:val="00E70A0D"/>
    <w:rsid w:val="00E732DF"/>
    <w:rsid w:val="00E8113F"/>
    <w:rsid w:val="00E8488E"/>
    <w:rsid w:val="00E955A2"/>
    <w:rsid w:val="00EA0CFE"/>
    <w:rsid w:val="00EB322B"/>
    <w:rsid w:val="00EC2961"/>
    <w:rsid w:val="00EC2CF0"/>
    <w:rsid w:val="00ED1D66"/>
    <w:rsid w:val="00EE03D5"/>
    <w:rsid w:val="00F030F3"/>
    <w:rsid w:val="00F17C25"/>
    <w:rsid w:val="00F359D3"/>
    <w:rsid w:val="00F41B63"/>
    <w:rsid w:val="00F632C9"/>
    <w:rsid w:val="00F6388F"/>
    <w:rsid w:val="00F74B07"/>
    <w:rsid w:val="00F870A1"/>
    <w:rsid w:val="00F872C4"/>
    <w:rsid w:val="00F91CC0"/>
    <w:rsid w:val="00FA7F4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115</cp:revision>
  <cp:lastPrinted>2018-12-18T07:58:00Z</cp:lastPrinted>
  <dcterms:created xsi:type="dcterms:W3CDTF">2017-01-19T09:35:00Z</dcterms:created>
  <dcterms:modified xsi:type="dcterms:W3CDTF">2019-07-22T09:15:00Z</dcterms:modified>
</cp:coreProperties>
</file>